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401631</w:t>
      </w:r>
      <w:bookmarkStart w:id="0" w:name="_GoBack"/>
      <w:bookmarkEnd w:id="0"/>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lang w:eastAsia="zh-CN"/>
        </w:rPr>
        <w:t>Athens, GR, 26 Feb – 01 Mar</w:t>
      </w:r>
      <w:r>
        <w:rPr>
          <w:rFonts w:ascii="Arial" w:hAnsi="Arial" w:eastAsia="宋体"/>
          <w:b/>
          <w:color w:val="auto"/>
          <w:sz w:val="24"/>
          <w:lang w:eastAsia="zh-CN"/>
        </w:rPr>
        <w:t>, 202</w:t>
      </w:r>
      <w:r>
        <w:rPr>
          <w:rFonts w:hint="eastAsia" w:ascii="Arial" w:hAnsi="Arial" w:eastAsia="宋体"/>
          <w:b/>
          <w:color w:val="auto"/>
          <w:sz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L1-RSRP measurement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8.3.2.2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simultaneous multi-panel/multi-beam reception and some agreements were achieved in [1], we summarized the agreements on core part as below.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3"/>
              </w:numPr>
              <w:overflowPunct/>
              <w:autoSpaceDE/>
              <w:autoSpaceDN/>
              <w:adjustRightInd/>
              <w:spacing w:after="120"/>
              <w:ind w:left="720" w:firstLineChars="0"/>
              <w:textAlignment w:val="auto"/>
              <w:rPr>
                <w:b/>
                <w:bCs/>
                <w:color w:val="auto"/>
                <w:szCs w:val="24"/>
                <w:lang w:eastAsia="zh-CN"/>
              </w:rPr>
            </w:pPr>
            <w:r>
              <w:rPr>
                <w:rFonts w:eastAsia="宋体"/>
                <w:color w:val="auto"/>
                <w:szCs w:val="24"/>
                <w:lang w:eastAsia="zh-CN"/>
              </w:rPr>
              <w:t>Measurement period for L1-RSRP configured for GBBR, N = 8</w:t>
            </w:r>
          </w:p>
          <w:p>
            <w:pPr>
              <w:pStyle w:val="28"/>
              <w:numPr>
                <w:ilvl w:val="0"/>
                <w:numId w:val="3"/>
              </w:numPr>
              <w:overflowPunct/>
              <w:autoSpaceDE/>
              <w:autoSpaceDN/>
              <w:adjustRightInd/>
              <w:spacing w:after="120"/>
              <w:ind w:left="720" w:firstLineChars="0"/>
              <w:textAlignment w:val="auto"/>
              <w:rPr>
                <w:color w:val="auto"/>
                <w:szCs w:val="24"/>
                <w:lang w:eastAsia="zh-CN"/>
              </w:rPr>
            </w:pPr>
            <w:r>
              <w:rPr>
                <w:rFonts w:eastAsia="宋体"/>
                <w:color w:val="auto"/>
                <w:szCs w:val="24"/>
                <w:lang w:eastAsia="zh-CN"/>
              </w:rPr>
              <w:t>L1-RSRP non-GBBR measurement enhancement</w:t>
            </w:r>
            <w:r>
              <w:rPr>
                <w:rFonts w:eastAsia="宋体"/>
                <w:color w:val="auto"/>
                <w:szCs w:val="24"/>
                <w:lang w:eastAsia="zh-CN"/>
              </w:rPr>
              <w:tab/>
            </w:r>
            <w:r>
              <w:rPr>
                <w:rFonts w:eastAsia="宋体"/>
                <w:color w:val="auto"/>
                <w:szCs w:val="24"/>
                <w:lang w:eastAsia="zh-CN"/>
              </w:rPr>
              <w:t>for multi-Rx is applied to L1-SINR non-GBBR measurement.</w:t>
            </w:r>
          </w:p>
          <w:p>
            <w:pPr>
              <w:pStyle w:val="28"/>
              <w:numPr>
                <w:ilvl w:val="0"/>
                <w:numId w:val="3"/>
              </w:numPr>
              <w:overflowPunct/>
              <w:autoSpaceDE/>
              <w:autoSpaceDN/>
              <w:adjustRightInd/>
              <w:spacing w:after="120"/>
              <w:ind w:left="720" w:firstLineChars="0"/>
              <w:textAlignment w:val="auto"/>
              <w:rPr>
                <w:b/>
                <w:bCs/>
                <w:color w:val="auto"/>
                <w:szCs w:val="24"/>
                <w:lang w:eastAsia="zh-CN"/>
              </w:rPr>
            </w:pPr>
            <w:r>
              <w:rPr>
                <w:rFonts w:eastAsia="宋体"/>
                <w:color w:val="auto"/>
                <w:szCs w:val="24"/>
                <w:lang w:eastAsia="zh-CN"/>
              </w:rPr>
              <w:t>For MAC CE based PDCCH TCI state switch for m-DCI scenario, no RRM requirement is defined for simultaneous PDCCH reception with different QCL typeD in Rel-18 multi-Rx WI.</w:t>
            </w:r>
          </w:p>
          <w:p>
            <w:pPr>
              <w:pStyle w:val="28"/>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Requirements for RRC based dual TCI state switch are defined.</w:t>
            </w:r>
          </w:p>
          <w:p>
            <w:pPr>
              <w:pStyle w:val="28"/>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For the requirement defined in the WI excepting the requirement for beam sweeping factor reduction:</w:t>
            </w:r>
          </w:p>
          <w:p>
            <w:pPr>
              <w:pStyle w:val="28"/>
              <w:numPr>
                <w:ilvl w:val="1"/>
                <w:numId w:val="3"/>
              </w:numPr>
              <w:overflowPunct/>
              <w:autoSpaceDE/>
              <w:autoSpaceDN/>
              <w:adjustRightInd/>
              <w:spacing w:after="120"/>
              <w:ind w:left="1440" w:firstLineChars="0"/>
              <w:textAlignment w:val="auto"/>
              <w:rPr>
                <w:b/>
                <w:bCs/>
                <w:color w:val="auto"/>
                <w:szCs w:val="24"/>
                <w:lang w:eastAsia="zh-CN"/>
              </w:rPr>
            </w:pPr>
            <w:r>
              <w:rPr>
                <w:color w:val="auto"/>
              </w:rPr>
              <w:t>When the side conditions are not fulfilled, the corresponding multi-Rx requirement is not applicable.</w:t>
            </w:r>
          </w:p>
          <w:p>
            <w:pPr>
              <w:pStyle w:val="28"/>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Power class for new UE capability for simultaneous reception with different QCL typeD for L1 measurements.</w:t>
            </w:r>
          </w:p>
          <w:p>
            <w:pPr>
              <w:pStyle w:val="28"/>
              <w:numPr>
                <w:ilvl w:val="1"/>
                <w:numId w:val="3"/>
              </w:numPr>
              <w:overflowPunct/>
              <w:autoSpaceDE/>
              <w:autoSpaceDN/>
              <w:adjustRightInd/>
              <w:spacing w:after="120"/>
              <w:ind w:left="1440" w:firstLineChars="0"/>
              <w:textAlignment w:val="auto"/>
              <w:rPr>
                <w:color w:val="auto"/>
              </w:rPr>
            </w:pPr>
            <w:r>
              <w:rPr>
                <w:color w:val="auto"/>
              </w:rPr>
              <w:t>All power classes expect PC6 for multi-Rx.</w:t>
            </w:r>
          </w:p>
          <w:p>
            <w:pPr>
              <w:pStyle w:val="28"/>
              <w:numPr>
                <w:ilvl w:val="1"/>
                <w:numId w:val="3"/>
              </w:numPr>
              <w:overflowPunct/>
              <w:autoSpaceDE/>
              <w:autoSpaceDN/>
              <w:adjustRightInd/>
              <w:spacing w:after="120"/>
              <w:ind w:left="1440" w:firstLineChars="0"/>
              <w:textAlignment w:val="auto"/>
              <w:rPr>
                <w:color w:val="auto"/>
              </w:rPr>
            </w:pPr>
            <w:r>
              <w:rPr>
                <w:color w:val="auto"/>
              </w:rPr>
              <w:t>Further discussion is not precluded if this agreement is not aligned with the RF decision.</w:t>
            </w:r>
          </w:p>
          <w:p>
            <w:pPr>
              <w:pStyle w:val="28"/>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Prerequisite features for new UE capability for simultaneous reception with different QCL typeD for L1 measurements.</w:t>
            </w:r>
          </w:p>
          <w:p>
            <w:pPr>
              <w:pStyle w:val="28"/>
              <w:numPr>
                <w:ilvl w:val="1"/>
                <w:numId w:val="3"/>
              </w:numPr>
              <w:overflowPunct/>
              <w:autoSpaceDE/>
              <w:autoSpaceDN/>
              <w:adjustRightInd/>
              <w:spacing w:after="120"/>
              <w:ind w:left="1440" w:firstLineChars="0"/>
              <w:textAlignment w:val="auto"/>
              <w:rPr>
                <w:rFonts w:hint="default" w:ascii="Times New Roman" w:hAnsi="Times New Roman" w:eastAsia="Times New Roman" w:cs="Times New Roman"/>
                <w:bCs/>
                <w:kern w:val="0"/>
                <w:sz w:val="20"/>
                <w:szCs w:val="24"/>
                <w:lang w:val="en-US" w:eastAsia="zh-CN" w:bidi="ar-SA"/>
              </w:rPr>
            </w:pPr>
            <w:r>
              <w:rPr>
                <w:color w:val="auto"/>
              </w:rPr>
              <w:t>16-2c, 23-5-1, [at least one of 16-2a, 16-2b-1, 16-2b-2 and 16-2b-3]</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further analysis focus on the remaining general issues around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b/>
          <w:color w:val="000000" w:themeColor="text1"/>
          <w:u w:val="single"/>
          <w:lang w:val="en-US" w:eastAsia="zh-CN"/>
          <w14:textFill>
            <w14:solidFill>
              <w14:schemeClr w14:val="tx1"/>
            </w14:solidFill>
          </w14:textFill>
        </w:rPr>
        <w:t>Measurement requirements for non-GBBR</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the measurement requirements of GBBR have been identified, still with the assumption of N = 8 as general in legacy for FR2 but the exact measurement details are subject to UE implementation, e.g. whether some samples are used to identify the interference impact from another panel reception. Such conclusion is the compromise between the measurement delay and the measurement performance consideration. Originally the majority preferred to apply smaller N in benifit of faster beam sweeping, while since some company has concern on whether faster beam sweeping is applicable during GBBR measurement, since a single panel assumption has already been decided in previous meeting for GBBR measurement, so finally no explicit enhancement since of faster beam sweeping is applied for the measurement of GBBR. Actually the legacy non-GBBR measurement period is still used for GBBR measurement even the UE is capable of multi-Rx.</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However, regarding the non-GBBR measurement for the UE capable of multi-Rx, since no need to concern how to derive the interference between the two panels, we believe the faster beam sweeping should be considered provided the condition of application of faster beam sweeping is clear. The most straightforward way is to reduce the number of N via faster beam sweeping, i.e. N can be reduced to 2/4/6 from 8.</w:t>
      </w:r>
    </w:p>
    <w:p>
      <w:pPr>
        <w:numPr>
          <w:ilvl w:val="0"/>
          <w:numId w:val="0"/>
        </w:numPr>
        <w:ind w:leftChars="0"/>
        <w:jc w:val="both"/>
        <w:rPr>
          <w:rFonts w:hint="default"/>
          <w:b/>
          <w:bCs/>
          <w:lang w:val="en-US" w:eastAsia="zh-CN"/>
        </w:rPr>
      </w:pPr>
      <w:r>
        <w:rPr>
          <w:rFonts w:hint="eastAsia"/>
          <w:b/>
          <w:bCs/>
          <w:lang w:val="en-US" w:eastAsia="zh-CN"/>
        </w:rPr>
        <w:t>Proposal 1: The assumption of N can be reduced from 8 to 2/4/6 via the application of faster beam sweeping in non-GBBR measurement.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CSI-RS based GBBR and non-GBBR measurement, since no beam sweeping involved in, so reusing the existing L1-RSRP measurement period is preferred.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CSI-RS based L1-RSRP measurements in FR2, the existing L1-RSRP measurement period is reused for GBBR and non-GBBR measurements.</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p>
    <w:p>
      <w:pPr>
        <w:rPr>
          <w:rFonts w:hint="default"/>
          <w:b/>
          <w:color w:val="000000" w:themeColor="text1"/>
          <w:u w:val="single"/>
          <w:lang w:val="en-US" w:eastAsia="zh-CN"/>
          <w14:textFill>
            <w14:solidFill>
              <w14:schemeClr w14:val="tx1"/>
            </w14:solidFill>
          </w14:textFill>
        </w:rPr>
      </w:pPr>
      <w:r>
        <w:rPr>
          <w:rFonts w:hint="eastAsia"/>
          <w:b/>
          <w:color w:val="000000" w:themeColor="text1"/>
          <w:u w:val="single"/>
          <w:lang w:val="en-US" w:eastAsia="zh-CN"/>
          <w14:textFill>
            <w14:solidFill>
              <w14:schemeClr w14:val="tx1"/>
            </w14:solidFill>
          </w14:textFill>
        </w:rPr>
        <w:t>The activation delay from single antenna panel to multi-antenna panel</w:t>
      </w:r>
    </w:p>
    <w:p>
      <w:pPr>
        <w:numPr>
          <w:ilvl w:val="0"/>
          <w:numId w:val="0"/>
        </w:numPr>
        <w:ind w:leftChars="0"/>
        <w:rPr>
          <w:rFonts w:hint="eastAsia"/>
          <w:lang w:val="en-US" w:eastAsia="zh-CN"/>
        </w:rPr>
      </w:pPr>
      <w:r>
        <w:rPr>
          <w:rFonts w:hint="eastAsia" w:ascii="Times New Roman" w:hAnsi="Times New Roman" w:eastAsia="宋体" w:cs="Times New Roman"/>
          <w:color w:val="auto"/>
          <w:sz w:val="20"/>
          <w:szCs w:val="20"/>
          <w:lang w:val="en-US" w:eastAsia="zh-CN" w:bidi="ar-SA"/>
        </w:rPr>
        <w:t>In previous meeting, the following agreements were achieved: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after="120" w:afterLines="50"/>
              <w:rPr>
                <w:rFonts w:hint="default"/>
                <w:b/>
                <w:bCs/>
                <w:color w:val="auto"/>
                <w:szCs w:val="24"/>
                <w:lang w:val="en-US"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r>
              <w:rPr>
                <w:rFonts w:hint="eastAsia"/>
                <w:b/>
                <w:bCs/>
                <w:color w:val="auto"/>
                <w:szCs w:val="24"/>
                <w:lang w:val="en-US" w:eastAsia="zh-CN"/>
              </w:rPr>
              <w:t>(104bis)</w:t>
            </w:r>
          </w:p>
          <w:p>
            <w:pPr>
              <w:pStyle w:val="28"/>
              <w:numPr>
                <w:ilvl w:val="0"/>
                <w:numId w:val="3"/>
              </w:numPr>
              <w:overflowPunct/>
              <w:autoSpaceDE/>
              <w:autoSpaceDN/>
              <w:adjustRightInd/>
              <w:spacing w:after="120" w:line="259" w:lineRule="auto"/>
              <w:ind w:firstLineChars="0"/>
              <w:textAlignment w:val="auto"/>
              <w:rPr>
                <w:rFonts w:hint="default"/>
                <w:vertAlign w:val="baseline"/>
                <w:lang w:val="en-US" w:eastAsia="zh-CN"/>
              </w:rPr>
            </w:pPr>
            <w:r>
              <w:rPr>
                <w:rFonts w:eastAsia="宋体"/>
                <w:color w:val="auto"/>
                <w:szCs w:val="24"/>
                <w:lang w:eastAsia="zh-CN"/>
              </w:rPr>
              <w:t>Whether to define RRM requirements for activation delay from a single antenna panel to multi-antenna panels should be decided after RF conclusion.</w:t>
            </w:r>
            <w:r>
              <w:rPr>
                <w:rFonts w:hint="eastAsia" w:eastAsia="宋体"/>
                <w:color w:val="auto"/>
                <w:szCs w:val="24"/>
                <w:lang w:val="en-US" w:eastAsia="zh-CN"/>
              </w:rPr>
              <w:t xml:space="preserve"> </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To our understanding, this issue can be terminated. In our opinion, the switching delay from single/multiple panel to multiple/single panel are similar as the legacy switching delay between panel A to panel B. However in legacy, not any switching delay defined. Furthermore, during the discussion of dual TCI state/single TCI state indication, this potential switching latency has already been discussed and concluded as no additional delay defined, so here we believe no need to further discuss this issue. Furthermore, in previous meeting, regarding the dual TCI state switching, RRM achieves the following agreements: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Times New Roman"/>
                <w:i/>
                <w:lang w:val="en-US" w:eastAsia="zh-CN"/>
              </w:rPr>
            </w:pPr>
            <w:r>
              <w:rPr>
                <w:rFonts w:eastAsia="Times New Roman"/>
                <w:i/>
                <w:highlight w:val="green"/>
                <w:lang w:val="en-US" w:eastAsia="zh-CN"/>
              </w:rPr>
              <w:t>A</w:t>
            </w:r>
            <w:r>
              <w:rPr>
                <w:rFonts w:hint="eastAsia" w:eastAsia="Times New Roman"/>
                <w:i/>
                <w:highlight w:val="green"/>
                <w:lang w:val="en-US" w:eastAsia="zh-CN"/>
              </w:rPr>
              <w:t>greements</w:t>
            </w:r>
            <w:r>
              <w:rPr>
                <w:rFonts w:hint="eastAsia" w:eastAsia="Times New Roman"/>
                <w:i/>
                <w:lang w:val="en-US" w:eastAsia="zh-CN"/>
              </w:rPr>
              <w:t>:</w:t>
            </w:r>
            <w:r>
              <w:rPr>
                <w:rFonts w:eastAsia="Times New Roman"/>
                <w:i/>
                <w:lang w:val="en-US" w:eastAsia="zh-CN"/>
              </w:rPr>
              <w:t xml:space="preserve"> </w:t>
            </w:r>
          </w:p>
          <w:p>
            <w:pPr>
              <w:pStyle w:val="28"/>
              <w:numPr>
                <w:ilvl w:val="0"/>
                <w:numId w:val="5"/>
              </w:numPr>
              <w:overflowPunct w:val="0"/>
              <w:autoSpaceDE w:val="0"/>
              <w:autoSpaceDN w:val="0"/>
              <w:adjustRightInd w:val="0"/>
              <w:spacing w:line="259" w:lineRule="auto"/>
              <w:ind w:firstLineChars="0"/>
              <w:textAlignment w:val="baseline"/>
              <w:rPr>
                <w:rFonts w:hint="default" w:eastAsia="宋体"/>
                <w:color w:val="auto"/>
                <w:sz w:val="20"/>
                <w:szCs w:val="20"/>
                <w:vertAlign w:val="baseline"/>
                <w:lang w:val="en-US" w:eastAsia="zh-CN"/>
              </w:rPr>
            </w:pPr>
            <w:r>
              <w:rPr>
                <w:rFonts w:eastAsia="Times New Roman"/>
                <w:i/>
                <w:lang w:eastAsia="zh-CN"/>
              </w:rPr>
              <w:t xml:space="preserve">RRM not to define additional TCI state switching delay for cross panel TCI state switching. If RF session achieves a new conclusion on panels ON/OFF switch time, RRM session may revisit the issue if required. </w:t>
            </w:r>
          </w:p>
        </w:tc>
      </w:tr>
    </w:tbl>
    <w:p>
      <w:pPr>
        <w:keepNext w:val="0"/>
        <w:keepLines w:val="0"/>
        <w:pageBreakBefore w:val="0"/>
        <w:widowControl/>
        <w:numPr>
          <w:ilvl w:val="0"/>
          <w:numId w:val="0"/>
        </w:numPr>
        <w:kinsoku/>
        <w:wordWrap/>
        <w:overflowPunct/>
        <w:topLinePunct w:val="0"/>
        <w:autoSpaceDE/>
        <w:autoSpaceDN/>
        <w:bidi w:val="0"/>
        <w:adjustRightInd/>
        <w:snapToGrid/>
        <w:spacing w:before="157" w:beforeLines="50"/>
        <w:textAlignment w:val="auto"/>
        <w:rPr>
          <w:rFonts w:hint="eastAsia" w:eastAsia="宋体"/>
          <w:color w:val="auto"/>
          <w:lang w:eastAsia="zh-CN"/>
        </w:rPr>
      </w:pPr>
      <w:r>
        <w:rPr>
          <w:rFonts w:hint="eastAsia"/>
          <w:b/>
          <w:bCs/>
          <w:lang w:val="en-US" w:eastAsia="zh-CN"/>
        </w:rPr>
        <w:t>Proposal 3: No need to define any switching or activation delay from single panel operation to multiple panel operation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L1-RSRP measurement for simultaneous DL reception from different directions</w:t>
      </w:r>
      <w:r>
        <w:rPr>
          <w:rFonts w:eastAsia="宋体"/>
          <w:bCs/>
          <w:color w:val="auto"/>
          <w:sz w:val="20"/>
          <w:szCs w:val="20"/>
          <w:lang w:val="en-GB" w:eastAsia="zh-CN"/>
        </w:rPr>
        <w:t>:</w:t>
      </w:r>
    </w:p>
    <w:p>
      <w:pPr>
        <w:numPr>
          <w:ilvl w:val="0"/>
          <w:numId w:val="0"/>
        </w:numPr>
        <w:ind w:leftChars="0"/>
        <w:jc w:val="both"/>
        <w:rPr>
          <w:rFonts w:hint="eastAsia"/>
          <w:b/>
          <w:bCs/>
          <w:lang w:val="en-US" w:eastAsia="zh-CN"/>
        </w:rPr>
      </w:pPr>
      <w:r>
        <w:rPr>
          <w:rFonts w:hint="eastAsia"/>
          <w:b/>
          <w:bCs/>
          <w:lang w:val="en-US" w:eastAsia="zh-CN"/>
        </w:rPr>
        <w:t>Proposal 1: The assumption of N can be reduced from 8 to 2/4/6 via the application of faster beam sweeping in non-GBBR measurement.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CSI-RS based L1-RSRP measurements in FR2, the existing L1-RSRP measurement period is reused for GBBR and non-GBBR measurements.</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Proposal 3: No need to define any switching or activation delay from single panel operation to multiple panel operation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Chars="0"/>
        <w:rPr>
          <w:rFonts w:hint="eastAsia"/>
          <w:color w:val="auto"/>
          <w:highlight w:val="none"/>
          <w:lang w:val="en-US" w:eastAsia="zh-CN"/>
        </w:rPr>
      </w:pPr>
      <w:r>
        <w:rPr>
          <w:rFonts w:hint="eastAsia"/>
          <w:color w:val="auto"/>
          <w:highlight w:val="none"/>
          <w:lang w:val="en-US" w:eastAsia="zh-CN"/>
        </w:rPr>
        <w:t xml:space="preserve">R4-2321602 </w:t>
      </w:r>
      <w:r>
        <w:rPr>
          <w:rFonts w:hint="default"/>
          <w:color w:val="auto"/>
          <w:highlight w:val="none"/>
          <w:lang w:val="en-US" w:eastAsia="zh-CN"/>
        </w:rPr>
        <w:t>“</w:t>
      </w:r>
      <w:r>
        <w:rPr>
          <w:rFonts w:hint="eastAsia"/>
          <w:color w:val="auto"/>
          <w:highlight w:val="none"/>
          <w:lang w:val="en-US" w:eastAsia="zh-CN"/>
        </w:rPr>
        <w:t>WF on core maintenance and performance part for multi-Rx WI</w:t>
      </w:r>
      <w:r>
        <w:rPr>
          <w:rFonts w:hint="default"/>
          <w:color w:val="auto"/>
          <w:highlight w:val="none"/>
          <w:lang w:val="en-US" w:eastAsia="zh-CN"/>
        </w:rPr>
        <w:t>”</w:t>
      </w:r>
      <w:r>
        <w:rPr>
          <w:rFonts w:hint="eastAsia"/>
          <w:color w:val="auto"/>
          <w:highlight w:val="none"/>
          <w:lang w:val="en-US" w:eastAsia="zh-CN"/>
        </w:rPr>
        <w:t>, vivo, Ericsson.</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2705335"/>
    <w:multiLevelType w:val="multilevel"/>
    <w:tmpl w:val="527053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8"/>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2"/>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FD25E9"/>
    <w:rsid w:val="02122247"/>
    <w:rsid w:val="02150C3F"/>
    <w:rsid w:val="022C3A09"/>
    <w:rsid w:val="0246140E"/>
    <w:rsid w:val="028B6A1D"/>
    <w:rsid w:val="028F1C3E"/>
    <w:rsid w:val="037D0CB3"/>
    <w:rsid w:val="03D230A8"/>
    <w:rsid w:val="03D4720A"/>
    <w:rsid w:val="03E04DEA"/>
    <w:rsid w:val="04151694"/>
    <w:rsid w:val="04654053"/>
    <w:rsid w:val="04793516"/>
    <w:rsid w:val="047A3CFF"/>
    <w:rsid w:val="04885243"/>
    <w:rsid w:val="048E28D9"/>
    <w:rsid w:val="05317828"/>
    <w:rsid w:val="05477E90"/>
    <w:rsid w:val="05BB5AB9"/>
    <w:rsid w:val="05C42923"/>
    <w:rsid w:val="05F562DB"/>
    <w:rsid w:val="066F3C18"/>
    <w:rsid w:val="06963BA6"/>
    <w:rsid w:val="06965F3C"/>
    <w:rsid w:val="07CD3CDD"/>
    <w:rsid w:val="07ED21CA"/>
    <w:rsid w:val="084B363C"/>
    <w:rsid w:val="0855671D"/>
    <w:rsid w:val="089009EB"/>
    <w:rsid w:val="09716BCA"/>
    <w:rsid w:val="098C1CEA"/>
    <w:rsid w:val="09902DFD"/>
    <w:rsid w:val="09D64B23"/>
    <w:rsid w:val="09E644B8"/>
    <w:rsid w:val="0B115E2E"/>
    <w:rsid w:val="0B12013A"/>
    <w:rsid w:val="0B12526E"/>
    <w:rsid w:val="0B1C5C6A"/>
    <w:rsid w:val="0B243EFB"/>
    <w:rsid w:val="0B3D3C2F"/>
    <w:rsid w:val="0B5D15B4"/>
    <w:rsid w:val="0B680E37"/>
    <w:rsid w:val="0BAC06FA"/>
    <w:rsid w:val="0BB0429A"/>
    <w:rsid w:val="0BFF5FC6"/>
    <w:rsid w:val="0C276675"/>
    <w:rsid w:val="0C394019"/>
    <w:rsid w:val="0EC91588"/>
    <w:rsid w:val="0F6C0B73"/>
    <w:rsid w:val="0F8009F9"/>
    <w:rsid w:val="10997F43"/>
    <w:rsid w:val="10DE7BAE"/>
    <w:rsid w:val="11023BFD"/>
    <w:rsid w:val="110404BB"/>
    <w:rsid w:val="111C20F6"/>
    <w:rsid w:val="117E1CB2"/>
    <w:rsid w:val="11B9344A"/>
    <w:rsid w:val="11ED345F"/>
    <w:rsid w:val="11EE68B9"/>
    <w:rsid w:val="120774A3"/>
    <w:rsid w:val="12580C13"/>
    <w:rsid w:val="130B3696"/>
    <w:rsid w:val="14006D19"/>
    <w:rsid w:val="1414436B"/>
    <w:rsid w:val="14330E67"/>
    <w:rsid w:val="146C04F1"/>
    <w:rsid w:val="1481754F"/>
    <w:rsid w:val="148F5721"/>
    <w:rsid w:val="14AC57CD"/>
    <w:rsid w:val="14B14D17"/>
    <w:rsid w:val="15393625"/>
    <w:rsid w:val="15ED3E9B"/>
    <w:rsid w:val="15FB179E"/>
    <w:rsid w:val="164514BE"/>
    <w:rsid w:val="167821BF"/>
    <w:rsid w:val="170F06AA"/>
    <w:rsid w:val="17225508"/>
    <w:rsid w:val="180A6E32"/>
    <w:rsid w:val="18362E8E"/>
    <w:rsid w:val="183F2CD2"/>
    <w:rsid w:val="1856323E"/>
    <w:rsid w:val="187F54FA"/>
    <w:rsid w:val="18892FF8"/>
    <w:rsid w:val="18AF55E3"/>
    <w:rsid w:val="18B1519A"/>
    <w:rsid w:val="18CD0507"/>
    <w:rsid w:val="195D7D48"/>
    <w:rsid w:val="19852D03"/>
    <w:rsid w:val="19BB3C55"/>
    <w:rsid w:val="1A6F1A83"/>
    <w:rsid w:val="1AD01A1B"/>
    <w:rsid w:val="1B24186C"/>
    <w:rsid w:val="1B4C5221"/>
    <w:rsid w:val="1B61065A"/>
    <w:rsid w:val="1BBF3927"/>
    <w:rsid w:val="1BF813DF"/>
    <w:rsid w:val="1C177B08"/>
    <w:rsid w:val="1C397865"/>
    <w:rsid w:val="1C647BBB"/>
    <w:rsid w:val="1C9001C6"/>
    <w:rsid w:val="1CBA2101"/>
    <w:rsid w:val="1D0573D7"/>
    <w:rsid w:val="1D153DC4"/>
    <w:rsid w:val="1D223E0B"/>
    <w:rsid w:val="1D3A54CD"/>
    <w:rsid w:val="1DF33EB1"/>
    <w:rsid w:val="1E132F88"/>
    <w:rsid w:val="1E2867E9"/>
    <w:rsid w:val="1E853F6F"/>
    <w:rsid w:val="1E9C7BCC"/>
    <w:rsid w:val="1EB86E7D"/>
    <w:rsid w:val="1ECC1E3C"/>
    <w:rsid w:val="1FC75F31"/>
    <w:rsid w:val="1FFD4083"/>
    <w:rsid w:val="20122D1B"/>
    <w:rsid w:val="202F3D4C"/>
    <w:rsid w:val="20874C29"/>
    <w:rsid w:val="20E2786E"/>
    <w:rsid w:val="21014C39"/>
    <w:rsid w:val="21045DF0"/>
    <w:rsid w:val="21244EB1"/>
    <w:rsid w:val="213964D8"/>
    <w:rsid w:val="21595D04"/>
    <w:rsid w:val="21835807"/>
    <w:rsid w:val="21F13629"/>
    <w:rsid w:val="2305377E"/>
    <w:rsid w:val="2319700A"/>
    <w:rsid w:val="231A76D5"/>
    <w:rsid w:val="237746D1"/>
    <w:rsid w:val="23BE460D"/>
    <w:rsid w:val="24122135"/>
    <w:rsid w:val="24D4257E"/>
    <w:rsid w:val="24F5519F"/>
    <w:rsid w:val="25253F04"/>
    <w:rsid w:val="2572202B"/>
    <w:rsid w:val="25AE612B"/>
    <w:rsid w:val="25B54731"/>
    <w:rsid w:val="25E7100D"/>
    <w:rsid w:val="2605683C"/>
    <w:rsid w:val="263604A5"/>
    <w:rsid w:val="26661176"/>
    <w:rsid w:val="26BB1419"/>
    <w:rsid w:val="27315D1D"/>
    <w:rsid w:val="27B748AA"/>
    <w:rsid w:val="27CB4CB9"/>
    <w:rsid w:val="27CC4452"/>
    <w:rsid w:val="28033332"/>
    <w:rsid w:val="281C2F58"/>
    <w:rsid w:val="28365E09"/>
    <w:rsid w:val="2844775F"/>
    <w:rsid w:val="28A67133"/>
    <w:rsid w:val="292D5BF2"/>
    <w:rsid w:val="292F6239"/>
    <w:rsid w:val="29642C4B"/>
    <w:rsid w:val="29A66B9A"/>
    <w:rsid w:val="2A34628C"/>
    <w:rsid w:val="2A724D05"/>
    <w:rsid w:val="2A7E505C"/>
    <w:rsid w:val="2AC85686"/>
    <w:rsid w:val="2AD04B5F"/>
    <w:rsid w:val="2B39549B"/>
    <w:rsid w:val="2B8F034A"/>
    <w:rsid w:val="2BA94DC7"/>
    <w:rsid w:val="2BC05B2C"/>
    <w:rsid w:val="2BD617C5"/>
    <w:rsid w:val="2C112837"/>
    <w:rsid w:val="2C360608"/>
    <w:rsid w:val="2D3B30E1"/>
    <w:rsid w:val="2E014790"/>
    <w:rsid w:val="2E3C43E6"/>
    <w:rsid w:val="2E3D3784"/>
    <w:rsid w:val="2EAE66A3"/>
    <w:rsid w:val="2EE77680"/>
    <w:rsid w:val="2F2F0FC8"/>
    <w:rsid w:val="2F591020"/>
    <w:rsid w:val="2F8E63A4"/>
    <w:rsid w:val="301C6BB6"/>
    <w:rsid w:val="30723652"/>
    <w:rsid w:val="30766FB2"/>
    <w:rsid w:val="31687544"/>
    <w:rsid w:val="319708F2"/>
    <w:rsid w:val="31B14C9E"/>
    <w:rsid w:val="31FE2981"/>
    <w:rsid w:val="32980539"/>
    <w:rsid w:val="33170395"/>
    <w:rsid w:val="33C522D7"/>
    <w:rsid w:val="33EE09D6"/>
    <w:rsid w:val="33F228A5"/>
    <w:rsid w:val="347C19A0"/>
    <w:rsid w:val="34807672"/>
    <w:rsid w:val="35135B80"/>
    <w:rsid w:val="351B1E30"/>
    <w:rsid w:val="358E5935"/>
    <w:rsid w:val="35B06C6A"/>
    <w:rsid w:val="36941AA2"/>
    <w:rsid w:val="36D37423"/>
    <w:rsid w:val="379D23F9"/>
    <w:rsid w:val="37E74183"/>
    <w:rsid w:val="39110091"/>
    <w:rsid w:val="3A185287"/>
    <w:rsid w:val="3A1F46B8"/>
    <w:rsid w:val="3A692CD0"/>
    <w:rsid w:val="3B270929"/>
    <w:rsid w:val="3B3D5571"/>
    <w:rsid w:val="3B5D276F"/>
    <w:rsid w:val="3B673620"/>
    <w:rsid w:val="3B9A1F29"/>
    <w:rsid w:val="3BAA6FE7"/>
    <w:rsid w:val="3BE160AB"/>
    <w:rsid w:val="3BEA7D63"/>
    <w:rsid w:val="3CE4646B"/>
    <w:rsid w:val="3D5E7AA8"/>
    <w:rsid w:val="3D6F2596"/>
    <w:rsid w:val="3F5E503E"/>
    <w:rsid w:val="3FA3488F"/>
    <w:rsid w:val="40060459"/>
    <w:rsid w:val="405F175E"/>
    <w:rsid w:val="40737877"/>
    <w:rsid w:val="40A811A8"/>
    <w:rsid w:val="40C765F3"/>
    <w:rsid w:val="41C755BE"/>
    <w:rsid w:val="41EF183A"/>
    <w:rsid w:val="42424160"/>
    <w:rsid w:val="4248000C"/>
    <w:rsid w:val="42B16B47"/>
    <w:rsid w:val="42F869D2"/>
    <w:rsid w:val="43553536"/>
    <w:rsid w:val="43AD068D"/>
    <w:rsid w:val="44972678"/>
    <w:rsid w:val="44C465F8"/>
    <w:rsid w:val="44D2042F"/>
    <w:rsid w:val="44E65610"/>
    <w:rsid w:val="451632B9"/>
    <w:rsid w:val="45394C2C"/>
    <w:rsid w:val="45906394"/>
    <w:rsid w:val="45D40A2F"/>
    <w:rsid w:val="45F60A50"/>
    <w:rsid w:val="46142D0C"/>
    <w:rsid w:val="463A5AC1"/>
    <w:rsid w:val="46970A81"/>
    <w:rsid w:val="46B036BF"/>
    <w:rsid w:val="46F866D1"/>
    <w:rsid w:val="47282363"/>
    <w:rsid w:val="476B3528"/>
    <w:rsid w:val="47C726B0"/>
    <w:rsid w:val="48582A73"/>
    <w:rsid w:val="49DC4EAC"/>
    <w:rsid w:val="49E55BC5"/>
    <w:rsid w:val="4A03035B"/>
    <w:rsid w:val="4C1C63D6"/>
    <w:rsid w:val="4C864A35"/>
    <w:rsid w:val="4C9C556F"/>
    <w:rsid w:val="4CA20EC7"/>
    <w:rsid w:val="4E015C76"/>
    <w:rsid w:val="4E310026"/>
    <w:rsid w:val="4E4A2325"/>
    <w:rsid w:val="4E593663"/>
    <w:rsid w:val="4E702749"/>
    <w:rsid w:val="4EC85323"/>
    <w:rsid w:val="4EDB3464"/>
    <w:rsid w:val="4FA2192A"/>
    <w:rsid w:val="4FE973EB"/>
    <w:rsid w:val="501A6C55"/>
    <w:rsid w:val="50AD31B7"/>
    <w:rsid w:val="511F73F9"/>
    <w:rsid w:val="51234069"/>
    <w:rsid w:val="51B14BED"/>
    <w:rsid w:val="52526454"/>
    <w:rsid w:val="525C1CEF"/>
    <w:rsid w:val="528B5767"/>
    <w:rsid w:val="52A77D4F"/>
    <w:rsid w:val="52D33625"/>
    <w:rsid w:val="52FD1C01"/>
    <w:rsid w:val="52FD33B4"/>
    <w:rsid w:val="536E37BE"/>
    <w:rsid w:val="5372021A"/>
    <w:rsid w:val="53A3105E"/>
    <w:rsid w:val="53C64B93"/>
    <w:rsid w:val="548A6C60"/>
    <w:rsid w:val="54A111AB"/>
    <w:rsid w:val="54E07F19"/>
    <w:rsid w:val="553B417D"/>
    <w:rsid w:val="55B1164D"/>
    <w:rsid w:val="55B4735E"/>
    <w:rsid w:val="55BB221D"/>
    <w:rsid w:val="55D64ABB"/>
    <w:rsid w:val="56371459"/>
    <w:rsid w:val="56484633"/>
    <w:rsid w:val="574B3EB2"/>
    <w:rsid w:val="574F134B"/>
    <w:rsid w:val="577823B2"/>
    <w:rsid w:val="58D0053D"/>
    <w:rsid w:val="59064002"/>
    <w:rsid w:val="59303800"/>
    <w:rsid w:val="596A1AB3"/>
    <w:rsid w:val="598C40A0"/>
    <w:rsid w:val="59DA647E"/>
    <w:rsid w:val="59EF102F"/>
    <w:rsid w:val="5A4D0D18"/>
    <w:rsid w:val="5A556E1A"/>
    <w:rsid w:val="5ABD6B5A"/>
    <w:rsid w:val="5AD04359"/>
    <w:rsid w:val="5B655329"/>
    <w:rsid w:val="5C1166E3"/>
    <w:rsid w:val="5C204854"/>
    <w:rsid w:val="5C811C94"/>
    <w:rsid w:val="5CEA5E4B"/>
    <w:rsid w:val="5D011808"/>
    <w:rsid w:val="5DE74DD6"/>
    <w:rsid w:val="5E2864D0"/>
    <w:rsid w:val="5E494511"/>
    <w:rsid w:val="5E617EB9"/>
    <w:rsid w:val="5EB44FC0"/>
    <w:rsid w:val="5EB81F13"/>
    <w:rsid w:val="5EDA64BC"/>
    <w:rsid w:val="5FBA395F"/>
    <w:rsid w:val="5FCA785E"/>
    <w:rsid w:val="60B92183"/>
    <w:rsid w:val="60EC2CBA"/>
    <w:rsid w:val="61661B78"/>
    <w:rsid w:val="61CC2D28"/>
    <w:rsid w:val="62DE3B93"/>
    <w:rsid w:val="630C63B9"/>
    <w:rsid w:val="63447B86"/>
    <w:rsid w:val="63454F29"/>
    <w:rsid w:val="635902CD"/>
    <w:rsid w:val="63A847E0"/>
    <w:rsid w:val="642A3E76"/>
    <w:rsid w:val="645E1DDB"/>
    <w:rsid w:val="64706BBE"/>
    <w:rsid w:val="64F2095B"/>
    <w:rsid w:val="65267327"/>
    <w:rsid w:val="65C60E57"/>
    <w:rsid w:val="65D63F94"/>
    <w:rsid w:val="66036AF7"/>
    <w:rsid w:val="67A858DB"/>
    <w:rsid w:val="67BC700D"/>
    <w:rsid w:val="67FE4166"/>
    <w:rsid w:val="68AD2162"/>
    <w:rsid w:val="68C401C3"/>
    <w:rsid w:val="69045D7F"/>
    <w:rsid w:val="693027BF"/>
    <w:rsid w:val="695D64DC"/>
    <w:rsid w:val="69686213"/>
    <w:rsid w:val="6968769B"/>
    <w:rsid w:val="69831B57"/>
    <w:rsid w:val="69A833BD"/>
    <w:rsid w:val="69FB3F8F"/>
    <w:rsid w:val="6A5D78D5"/>
    <w:rsid w:val="6A85354A"/>
    <w:rsid w:val="6B5A3793"/>
    <w:rsid w:val="6C4E0A66"/>
    <w:rsid w:val="6C8E0C06"/>
    <w:rsid w:val="6CEA79B8"/>
    <w:rsid w:val="6D566F0F"/>
    <w:rsid w:val="6D836F72"/>
    <w:rsid w:val="6DC2026F"/>
    <w:rsid w:val="6DDE3DAF"/>
    <w:rsid w:val="6E281030"/>
    <w:rsid w:val="6E2C7D5B"/>
    <w:rsid w:val="6E3241BE"/>
    <w:rsid w:val="6EB97A9D"/>
    <w:rsid w:val="6EF10A90"/>
    <w:rsid w:val="6FD45BF8"/>
    <w:rsid w:val="6FFF1868"/>
    <w:rsid w:val="70332195"/>
    <w:rsid w:val="70A20D5A"/>
    <w:rsid w:val="715037EE"/>
    <w:rsid w:val="71507435"/>
    <w:rsid w:val="715F4C2D"/>
    <w:rsid w:val="721C3FA1"/>
    <w:rsid w:val="722F78FB"/>
    <w:rsid w:val="723D67C5"/>
    <w:rsid w:val="7250627B"/>
    <w:rsid w:val="72BF60CA"/>
    <w:rsid w:val="72F41282"/>
    <w:rsid w:val="733D0D32"/>
    <w:rsid w:val="73D411F1"/>
    <w:rsid w:val="74165422"/>
    <w:rsid w:val="74E63B01"/>
    <w:rsid w:val="753811DE"/>
    <w:rsid w:val="7566040A"/>
    <w:rsid w:val="757733D9"/>
    <w:rsid w:val="75A7114C"/>
    <w:rsid w:val="75BE67D4"/>
    <w:rsid w:val="75C2004C"/>
    <w:rsid w:val="75C759C1"/>
    <w:rsid w:val="75EF0B62"/>
    <w:rsid w:val="760F5DAE"/>
    <w:rsid w:val="762D64F3"/>
    <w:rsid w:val="763E0D7C"/>
    <w:rsid w:val="76761433"/>
    <w:rsid w:val="767E7EFF"/>
    <w:rsid w:val="76C20482"/>
    <w:rsid w:val="775B4604"/>
    <w:rsid w:val="77B55917"/>
    <w:rsid w:val="77C067C3"/>
    <w:rsid w:val="77EA64D7"/>
    <w:rsid w:val="78911E31"/>
    <w:rsid w:val="78A33286"/>
    <w:rsid w:val="7922350F"/>
    <w:rsid w:val="792B5470"/>
    <w:rsid w:val="79762E65"/>
    <w:rsid w:val="79C637D8"/>
    <w:rsid w:val="7A7F40B1"/>
    <w:rsid w:val="7A9367CB"/>
    <w:rsid w:val="7AA10DE7"/>
    <w:rsid w:val="7AF22571"/>
    <w:rsid w:val="7B626FA0"/>
    <w:rsid w:val="7B69224B"/>
    <w:rsid w:val="7B6E5110"/>
    <w:rsid w:val="7BE80F25"/>
    <w:rsid w:val="7C036618"/>
    <w:rsid w:val="7C1C35A7"/>
    <w:rsid w:val="7C45431D"/>
    <w:rsid w:val="7D243E1C"/>
    <w:rsid w:val="7D3219D5"/>
    <w:rsid w:val="7DDD0501"/>
    <w:rsid w:val="7DE51372"/>
    <w:rsid w:val="7E3F4005"/>
    <w:rsid w:val="7E5E590F"/>
    <w:rsid w:val="7E935AFB"/>
    <w:rsid w:val="7EAF1137"/>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2024-02-19T09:56:16Z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C4DBDF87124D4C7EBEE65EDD26358105</vt:lpwstr>
  </property>
</Properties>
</file>